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E7" w:rsidRPr="00C012E7" w:rsidRDefault="00C012E7" w:rsidP="00C012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bg-BG"/>
        </w:rPr>
      </w:pPr>
      <w:r w:rsidRPr="00C012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bg-BG"/>
        </w:rPr>
        <w:t xml:space="preserve">                                     Устав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на  Народно читалище”</w:t>
      </w:r>
      <w:r w:rsidRPr="00C012E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bg-BG"/>
        </w:rPr>
        <w:t>Зора – 1930г. ”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ПЪРВА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ОБЩИ ПОЛОЖЕНИЯ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Чл.1 С този устав ,съобразен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,при които се развива неговата дейност.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Народно читалище “ Зора – 1930г.”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 В неговата дейност може да участват всички физически лица 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ограничения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възраст, пол, политически и религиозни възгледи и етническо самосъзнание.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Народно читалище “  Зора– 1930г.” е юридическо лице с нестопанска цел със седалище в село Помен, област Русе и адрес на управление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ул.Демокрация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№1 .  Читалището е вписано в регистъра на културата под № 1576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Чл.5: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Чл.6: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Читалището работи във взаимоотношения и с други културни и научни институти, учебни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заведения,обществени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ВТОРА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ЦЕЛИ, ДЕЙНОСТИ И ЗАДАЧИ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Целта на читалището е да задоволява потребностите на гражданите свързани с :</w:t>
      </w:r>
    </w:p>
    <w:p w:rsidR="00C012E7" w:rsidRPr="00C012E7" w:rsidRDefault="00C012E7" w:rsidP="00C01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Развитие и обогатяване на културния живот, социалната и образователна дейност на населението. </w:t>
      </w:r>
    </w:p>
    <w:p w:rsidR="00C012E7" w:rsidRPr="00C012E7" w:rsidRDefault="00C012E7" w:rsidP="00C01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Запазване на обичаите и традициите на българския народ. </w:t>
      </w:r>
    </w:p>
    <w:p w:rsidR="00C012E7" w:rsidRPr="00C012E7" w:rsidRDefault="00C012E7" w:rsidP="00C01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C012E7" w:rsidRPr="00C012E7" w:rsidRDefault="00C012E7" w:rsidP="00C01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Възпитаване и утвърждаване на националното самосъзнание.</w:t>
      </w:r>
    </w:p>
    <w:p w:rsidR="00C012E7" w:rsidRPr="00C012E7" w:rsidRDefault="00C012E7" w:rsidP="00C01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Осигуряване на достъп до информация.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Чл.8: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постигането на своята цел читалището извършва следните дейности:</w:t>
      </w:r>
    </w:p>
    <w:p w:rsidR="00C012E7" w:rsidRPr="00C012E7" w:rsidRDefault="00C012E7" w:rsidP="00C01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Поддържа библиотека,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читални,фото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-,фоно-.,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филмо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видеотеки, както и създава и поддържа електронни информационни мрежи. </w:t>
      </w:r>
    </w:p>
    <w:p w:rsidR="00C012E7" w:rsidRPr="00C012E7" w:rsidRDefault="00C012E7" w:rsidP="00C01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Организира  школи, кръжоци, курсове, клубове, кино- и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видеопоказ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празненства, концерти, чествания и младежки дейности</w:t>
      </w:r>
    </w:p>
    <w:p w:rsidR="00C012E7" w:rsidRPr="00C012E7" w:rsidRDefault="00C012E7" w:rsidP="00C01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Развива и подпомага любителското художествено творчество.</w:t>
      </w:r>
    </w:p>
    <w:p w:rsidR="00C012E7" w:rsidRPr="00C012E7" w:rsidRDefault="00C012E7" w:rsidP="00C01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Събира и разпространява знания за родния край.</w:t>
      </w:r>
    </w:p>
    <w:p w:rsidR="00C012E7" w:rsidRPr="00C012E7" w:rsidRDefault="00C012E7" w:rsidP="00C01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Създава и съхранява музейни колекции съгласно Закона за културното наследство.</w:t>
      </w:r>
    </w:p>
    <w:p w:rsidR="00C012E7" w:rsidRPr="00C012E7" w:rsidRDefault="00C012E7" w:rsidP="00C012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Предоставя компютърни и интернет услуги.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Чл.9: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 „Зора - 1930”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цели.Читалището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 разпределя печалба.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ТРЕТА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УЧРЕДЯВАНЕ, ПРЕКРАТЯВАНЕ, ЧЛЕНСТВО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Чл.10:</w:t>
      </w:r>
    </w:p>
    <w:p w:rsidR="00C012E7" w:rsidRPr="00C012E7" w:rsidRDefault="00C012E7" w:rsidP="00C012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Читалище " Зора 1930 ” е основано през  1930 година. </w:t>
      </w:r>
    </w:p>
    <w:p w:rsidR="00C012E7" w:rsidRPr="00C012E7" w:rsidRDefault="00C012E7" w:rsidP="00C012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C012E7" w:rsidRPr="00C012E7" w:rsidRDefault="00C012E7" w:rsidP="00C012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Чл.11:</w:t>
      </w:r>
    </w:p>
    <w:p w:rsidR="00C012E7" w:rsidRPr="00C012E7" w:rsidRDefault="00C012E7" w:rsidP="00C012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C012E7" w:rsidRPr="00C012E7" w:rsidRDefault="00C012E7" w:rsidP="00C012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Читалището може да бъде прекратено и по решение на окръжния съд съгласно чл.27 от ЗНЧ.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Чл.12: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Членовете на читалище  „Зора – 1930г.” могат да бъдат индивидуални ,   колективни, почетни, дарители.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012E7" w:rsidRPr="00C012E7" w:rsidRDefault="00C012E7" w:rsidP="00C01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Индивидуалните членове са български граждани. Те са действителни и спомагателни. </w:t>
      </w:r>
    </w:p>
    <w:p w:rsidR="00C012E7" w:rsidRPr="00C012E7" w:rsidRDefault="00C012E7" w:rsidP="00C012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Действителни членове са дееспособни лица, които плащат редовно 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членския си внос, трябва да са навършили 18 г.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3.Спомагателни членове са лица до 18 години, които нямат право да избират и да бъдат избирани  и имат съвещателен глас.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4.Членството се учредява или продължава с акта на плащането на членския внос .  Води се регистър на читалищните членове.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5.Членството се прекратява: </w:t>
      </w:r>
    </w:p>
    <w:p w:rsidR="00C012E7" w:rsidRPr="00C012E7" w:rsidRDefault="00C012E7" w:rsidP="00C012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писмено заявление на читалищния член; </w:t>
      </w:r>
    </w:p>
    <w:p w:rsidR="00C012E7" w:rsidRPr="00C012E7" w:rsidRDefault="00C012E7" w:rsidP="00C012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не участва в дейността на читалището;</w:t>
      </w:r>
    </w:p>
    <w:p w:rsidR="00C012E7" w:rsidRPr="00C012E7" w:rsidRDefault="00C012E7" w:rsidP="00C012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когато не е платен членският внос в рамките на календарната година; </w:t>
      </w:r>
    </w:p>
    <w:p w:rsidR="00C012E7" w:rsidRPr="00C012E7" w:rsidRDefault="00C012E7" w:rsidP="00C012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не участва в три последователни заседания на Общото събрание;</w:t>
      </w:r>
    </w:p>
    <w:p w:rsidR="00C012E7" w:rsidRPr="00C012E7" w:rsidRDefault="00C012E7" w:rsidP="00C012E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6. Нови членове се приемат от Общото събрание.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Чл.14:</w:t>
      </w:r>
    </w:p>
    <w:p w:rsidR="00C012E7" w:rsidRPr="00C012E7" w:rsidRDefault="00C012E7" w:rsidP="00C012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ЧЛЕНОВЕТЕ на читалище " Зора -  1930г. ”. имат право: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получават информация за дейността на читалището.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участват в обсъждане на дейността на читалището.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ползват с предимство неговата база и услугите му. </w:t>
      </w:r>
    </w:p>
    <w:p w:rsidR="00C012E7" w:rsidRPr="00C012E7" w:rsidRDefault="00C012E7" w:rsidP="00C012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ЧЛЕНОВЕТЕ на читалище " Зора -  1930г.” са длъжни: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плащат редовно членския си внос – размер на  1 лв.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спазват Устава на читалището.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участват според възможностите си в дейността на читалището.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опазват недвижимото имущество и предприемат стъпки за обогатяването му. </w:t>
      </w:r>
    </w:p>
    <w:p w:rsidR="00C012E7" w:rsidRPr="00C012E7" w:rsidRDefault="00C012E7" w:rsidP="00C012E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не уронват доброто име и престижа на читалище " Зора -  1930г.”.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Чл.15:</w:t>
      </w:r>
    </w:p>
    <w:p w:rsidR="00C012E7" w:rsidRPr="00C012E7" w:rsidRDefault="00C012E7" w:rsidP="00C012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Колективни членове на читалище " Зора -  1930г.”   могат да бъдат: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Професионални и стопански организации.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Търговски дружества, регистрирани по установения ред, кооперации и сдружения с нестопанска цел.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Културно-просветни и любителски клубове, творчески колективи, учебни заведения. </w:t>
      </w:r>
    </w:p>
    <w:p w:rsidR="00C012E7" w:rsidRPr="00C012E7" w:rsidRDefault="00C012E7" w:rsidP="00C012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Колективните членове съдействат: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осъществяване на целите на читалище "Зора -  1930г. ”.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Подпомагат финансово дейностите по поддържането и обогатяването на материалната база.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Имат право на един глас. </w:t>
      </w:r>
    </w:p>
    <w:p w:rsidR="00C012E7" w:rsidRPr="00C012E7" w:rsidRDefault="00C012E7" w:rsidP="00C012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читалище " Зора -  1930г. ”</w:t>
      </w:r>
    </w:p>
    <w:p w:rsidR="00C012E7" w:rsidRPr="00C012E7" w:rsidRDefault="00C012E7" w:rsidP="00C012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Колективното членство се прекратява: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писмено искане на колективен член. </w:t>
      </w:r>
    </w:p>
    <w:p w:rsidR="00C012E7" w:rsidRPr="00C012E7" w:rsidRDefault="00C012E7" w:rsidP="00C012E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фактическо прекъсване на взаимоотношенията между колективен член и читалище " Зора -  1930г. ” в продължение на една календарна година.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Чл.16: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Почетни членове на читалище " Зора -  1930г. ” могат да бъдат български и чужди граждани, както и дарители с изключителни заслуги към него.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ЧЕТВЪРТА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УПРАВЛЕНИЕ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Чл.17: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Органите за управление на читалище " Зора – 1930г.” са: </w:t>
      </w:r>
    </w:p>
    <w:p w:rsidR="00C012E7" w:rsidRPr="00C012E7" w:rsidRDefault="00C012E7" w:rsidP="00C012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Общото събрание. </w:t>
      </w:r>
    </w:p>
    <w:p w:rsidR="00C012E7" w:rsidRPr="00C012E7" w:rsidRDefault="00C012E7" w:rsidP="00C012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Читалищното настоятелство. </w:t>
      </w:r>
    </w:p>
    <w:p w:rsidR="00C012E7" w:rsidRPr="00C012E7" w:rsidRDefault="00C012E7" w:rsidP="00C012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Проверителната комисия.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Чл.18: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Общото събрание: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Изменя и допълва Устава.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Избира и освобождава членове на Настоятелството, Проверителната комисия и Председателя.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Изключва членове на читалището.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основните насоки за дейността на читалището.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Взема решения за членуване или прекратяване на членството в Читалищно сдружение.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Приема бюджета на читалището.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Приема годишния отчет до   края на януари на следващата година.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Обявява почетни членове,  в т.ч. дарителите.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Отменя решения на органите на читалище " Зора -  1930г. ”.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размера на членския внос.</w:t>
      </w:r>
    </w:p>
    <w:p w:rsidR="00C012E7" w:rsidRPr="00C012E7" w:rsidRDefault="00C012E7" w:rsidP="00C012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 решения за откриване на клонове на читалището след съгласуване с общината.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Чл.20: Събрания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общо събрание на Народно читалище " Зора–1930г.” се свиква от Настоятелството веднъж годишно. 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Извънредно общо събрание на Народно читалище " Зора- 1930г.”.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Общото събрание е законно, ако присъстват най-малко половината от имащите право на глас членове на Народно читалище " Зора- 1930г.”. 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При липса на кворум събранието се отлага с един час .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Две трети от членовете на Общото събрание на Народно  читалище” Зора- 1930г.” могат да предявят иск пред окръжния съд по седалището на читалището за отмяна на решение на общото събрание, ако то противоречи на Закона или Устава</w:t>
      </w:r>
      <w:r w:rsidRPr="00C012E7">
        <w:rPr>
          <w:rFonts w:ascii="TimesNewRomanPSMT" w:eastAsia="Times New Roman" w:hAnsi="TimesNewRomanPSMT" w:cs="TimesNewRomanPSMT"/>
          <w:b/>
          <w:sz w:val="24"/>
          <w:szCs w:val="24"/>
          <w:lang w:eastAsia="bg-BG"/>
        </w:rPr>
        <w:t>.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C012E7" w:rsidRPr="00C012E7" w:rsidRDefault="00C012E7" w:rsidP="00C012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Чл.21: Читалищното настоятелство:</w:t>
      </w:r>
    </w:p>
    <w:p w:rsidR="00C012E7" w:rsidRPr="00C012E7" w:rsidRDefault="00C012E7" w:rsidP="00C012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Изпълнителен  орган на Народно читалище " Зора- 1930г.” е Читалищното настоятелство. То се състои   не повече от 5 члена,  избрани за 3 /три/ години. Те не могат да имат роднински връзки по права и съребрена линия до четвърта степен.</w:t>
      </w:r>
    </w:p>
    <w:p w:rsidR="00C012E7" w:rsidRPr="00C012E7" w:rsidRDefault="00C012E7" w:rsidP="00C012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Настоятелството :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общото събрание и изпълнява взетите от него решения.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Подготвя и внася в Общото събрание отчет по бюджета и дейността на читалището.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Секретаря на читалището и утвърждава длъжностната му характеристика. 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 решения относно изпълняването на програмата и приетия годишен бюджет.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Взема решения за назначаване на щатния и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хонорования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персонал и за определяне на хонорарите им и трудовите възнаграждения.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Приема годишни планове за работата на читалището и програмите на отделните колективи.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Взема решения за сдружаване на читалището, с изключение на решения, свързани по чл.14, ал.1, т.6 от ЗНЧ.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арендните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вноски, за образуване и управление на целеви фондове, в т.ч. и в изпълнение на дарения.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C012E7" w:rsidRPr="00C012E7" w:rsidRDefault="00C012E7" w:rsidP="00C012E7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 решения за морално и материално стимулиране и поощряване на читалищни членове и дейци, работещи в читалището.</w:t>
      </w:r>
    </w:p>
    <w:p w:rsidR="00C012E7" w:rsidRPr="00C012E7" w:rsidRDefault="00C012E7" w:rsidP="00C012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Настоятелството се свиква на заседание най-малко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веднъж </w:t>
      </w:r>
      <w:r w:rsidRPr="00C012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Чл.22: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Председателят на читалището се избира пряко от Общото събрание за три години въз основа на чл.17 от ЗНЧ. 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Председателят представлява читалището. 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Свиква и ръководи заседанията на Настоятелството и председателства Общото събрание.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Отчита дейността си пред Читалищното настоятелство.</w:t>
      </w:r>
    </w:p>
    <w:p w:rsidR="00C012E7" w:rsidRPr="00C012E7" w:rsidRDefault="00C012E7" w:rsidP="00C01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Председателят и членовете на настоятелството имат право да получават възнаграждение  за своята дейност.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Чл.23: </w:t>
      </w:r>
    </w:p>
    <w:p w:rsidR="00C012E7" w:rsidRPr="00C012E7" w:rsidRDefault="00C012E7" w:rsidP="00C012E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Секретарят на читалището: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-организира изпълнението на решенията на Настоятелството, включително решенията за изпълнението на бюджета;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организира текущата основна и допълнителна дейност;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отговаря за работата на щатния и хонорувания персонал;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представлява читалището заедно и поотделно с Председателя.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Чл.24:</w:t>
      </w:r>
    </w:p>
    <w:p w:rsidR="00C012E7" w:rsidRPr="00C012E7" w:rsidRDefault="00C012E7" w:rsidP="00C01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Проверителната комисия се състои   от  3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C012E7" w:rsidRPr="00C012E7" w:rsidRDefault="00C012E7" w:rsidP="00C01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C012E7" w:rsidRPr="00C012E7" w:rsidRDefault="00C012E7" w:rsidP="00C01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C012E7" w:rsidRPr="00C012E7" w:rsidRDefault="00C012E7" w:rsidP="00C01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Комисията взема решения с мнозинство повече от половината.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27: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 читалището.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ПЕТА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ИМУЩЕСТВО И ФИНАНСИ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Чл.28: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Чл.29: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Чл.30: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Читалището набира средства от следните източници: 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Членски внос. 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Културно-просветна и информационна дейност,  включително школи и курсове. 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Субсидия от държавния и от общинския бюджет. 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Наеми от движимо и недвижимо имущество..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Дарения и завещания. </w:t>
      </w:r>
    </w:p>
    <w:p w:rsidR="00C012E7" w:rsidRPr="00C012E7" w:rsidRDefault="00C012E7" w:rsidP="00C01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приходи, включително от стопанска дейност.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Чл.31: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Единният читалищен бюджет се формира от всички приходоизточници - собствени и от субсидии.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Чл.32: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Читалищното настоятелство изготвя годишния отчет за приходите и разходите,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който се приема от Общото събрание.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Чл.33: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Чл.34: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Председателят на 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C012E7" w:rsidRPr="00C012E7" w:rsidRDefault="00C012E7" w:rsidP="00C012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C012E7" w:rsidRPr="00C012E7" w:rsidRDefault="00C012E7" w:rsidP="00C012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C012E7" w:rsidRPr="00C012E7" w:rsidRDefault="00C012E7" w:rsidP="00C012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C012E7" w:rsidRPr="00C012E7" w:rsidRDefault="00C012E7" w:rsidP="00C012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 Счетоводната отчетност се води в съответствие със Закона за счетоводството и подзаконовите документи.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ШЕСТА</w:t>
      </w: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ПРЕКРАТЯВАНЕ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Чл.35: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Читалището може да бъде прекратено по решение на Общото събрание или на Окръжния съд. 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Чл.36: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Окръжният съд постановява решение за прекратяване на читалището, ако: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му противоречи на Закона за народните читалища, Устава и добрите нрави.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е учредено по законния ред.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Е обявено в несъстоятелност.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Прекратяването на читалището по искане на прокурора се вписва служебно.</w:t>
      </w:r>
    </w:p>
    <w:p w:rsidR="00C012E7" w:rsidRPr="00C012E7" w:rsidRDefault="00C012E7" w:rsidP="00C012E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неуредени в ЗНЧ случаи се прилага Законът за юридическите лица с нестопанска цел.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СЕДМА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ЗАКЛЮЧИТЕЛНИ РАЗПОРЕДБИ</w:t>
      </w:r>
    </w:p>
    <w:p w:rsidR="00C012E7" w:rsidRPr="00C012E7" w:rsidRDefault="00C012E7" w:rsidP="00C012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Читалището има име - " Зора - 1930 ”.</w:t>
      </w:r>
    </w:p>
    <w:p w:rsidR="00C012E7" w:rsidRPr="00C012E7" w:rsidRDefault="00C012E7" w:rsidP="00C012E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Читалището има кръгъл печат, надпис Народно читалище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с.Помен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Русенско с окръжност в средата с надпис Народно Читалище „Зора”1930</w:t>
      </w:r>
    </w:p>
    <w:p w:rsidR="00C012E7" w:rsidRPr="00C012E7" w:rsidRDefault="00C012E7" w:rsidP="00C012E7">
      <w:pPr>
        <w:numPr>
          <w:ilvl w:val="0"/>
          <w:numId w:val="17"/>
        </w:numPr>
        <w:tabs>
          <w:tab w:val="num" w:pos="18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Празник на Читалището е  24 май 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Този нов устав е приет на общо събрание на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читалището,проведено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.04.2010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година,съобразно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&amp; 34 </w:t>
      </w: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ПЗР  на ЗИД на Закона за народните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читалища,обн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ДВ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.42 от 2009.  и променен на общо събрание ,проведено на 30.09. 2015 год.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НЧ 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Нилгюл</w:t>
      </w:r>
      <w:proofErr w:type="spellEnd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Хасанова</w:t>
      </w:r>
    </w:p>
    <w:p w:rsidR="00C012E7" w:rsidRPr="00C012E7" w:rsidRDefault="00C012E7" w:rsidP="00C01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 НЧ      Фатме </w:t>
      </w:r>
      <w:proofErr w:type="spellStart"/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Зюрабова</w:t>
      </w:r>
      <w:proofErr w:type="spellEnd"/>
    </w:p>
    <w:p w:rsidR="00C012E7" w:rsidRP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tabs>
          <w:tab w:val="left" w:pos="1185"/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012E7">
        <w:rPr>
          <w:rFonts w:ascii="Calibri" w:eastAsia="Calibri" w:hAnsi="Calibri" w:cs="Times New Roman"/>
          <w:sz w:val="24"/>
          <w:szCs w:val="24"/>
        </w:rPr>
        <w:t>Настоятелство на НЧ „ЗОРА-1930“  с. Помен:</w:t>
      </w:r>
    </w:p>
    <w:p w:rsidR="00C012E7" w:rsidRPr="00C012E7" w:rsidRDefault="00C012E7" w:rsidP="00C012E7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Нилгюл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Ахмедова Хасанова - председател</w:t>
      </w:r>
    </w:p>
    <w:p w:rsidR="00C012E7" w:rsidRPr="00C012E7" w:rsidRDefault="00C012E7" w:rsidP="00C012E7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C012E7">
        <w:rPr>
          <w:rFonts w:ascii="Calibri" w:eastAsia="Calibri" w:hAnsi="Calibri" w:cs="Times New Roman"/>
          <w:sz w:val="24"/>
          <w:szCs w:val="24"/>
        </w:rPr>
        <w:t xml:space="preserve">Фатме </w:t>
      </w: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Зекериева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Зюрабова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- секретар</w:t>
      </w:r>
    </w:p>
    <w:p w:rsidR="00C012E7" w:rsidRPr="00C012E7" w:rsidRDefault="00C012E7" w:rsidP="00C012E7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Сетвийе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Юсеин Имамова - член</w:t>
      </w:r>
    </w:p>
    <w:p w:rsidR="00C012E7" w:rsidRPr="00C012E7" w:rsidRDefault="00C012E7" w:rsidP="00C01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012E7" w:rsidRPr="00C012E7" w:rsidRDefault="00C012E7" w:rsidP="00C01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012E7">
        <w:rPr>
          <w:rFonts w:ascii="Calibri" w:eastAsia="Calibri" w:hAnsi="Calibri" w:cs="Times New Roman"/>
          <w:sz w:val="24"/>
          <w:szCs w:val="24"/>
        </w:rPr>
        <w:t>Проверителна комисия на НЧ „ЗОРА-1930“ с. Помен</w:t>
      </w:r>
    </w:p>
    <w:p w:rsidR="00C012E7" w:rsidRPr="00C012E7" w:rsidRDefault="00C012E7" w:rsidP="00C012E7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C012E7">
        <w:rPr>
          <w:rFonts w:ascii="Calibri" w:eastAsia="Calibri" w:hAnsi="Calibri" w:cs="Times New Roman"/>
          <w:sz w:val="24"/>
          <w:szCs w:val="24"/>
        </w:rPr>
        <w:t xml:space="preserve">Бедрие Хасанова </w:t>
      </w: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Еюбова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- председател</w:t>
      </w:r>
    </w:p>
    <w:p w:rsidR="00C012E7" w:rsidRPr="00C012E7" w:rsidRDefault="00C012E7" w:rsidP="00C012E7">
      <w:pPr>
        <w:tabs>
          <w:tab w:val="left" w:pos="764"/>
          <w:tab w:val="left" w:pos="927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012E7">
        <w:rPr>
          <w:rFonts w:ascii="Calibri" w:eastAsia="Calibri" w:hAnsi="Calibri" w:cs="Times New Roman"/>
          <w:sz w:val="24"/>
          <w:szCs w:val="24"/>
        </w:rPr>
        <w:tab/>
        <w:t>Хатидже Алиосманова Халилова - член</w:t>
      </w:r>
      <w:r w:rsidRPr="00C012E7">
        <w:rPr>
          <w:rFonts w:ascii="Calibri" w:eastAsia="Calibri" w:hAnsi="Calibri" w:cs="Times New Roman"/>
          <w:sz w:val="24"/>
          <w:szCs w:val="24"/>
        </w:rPr>
        <w:tab/>
      </w:r>
    </w:p>
    <w:p w:rsidR="00C012E7" w:rsidRPr="00C012E7" w:rsidRDefault="00C012E7" w:rsidP="00C012E7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proofErr w:type="spellStart"/>
      <w:r w:rsidRPr="00C012E7">
        <w:rPr>
          <w:rFonts w:ascii="Calibri" w:eastAsia="Calibri" w:hAnsi="Calibri" w:cs="Times New Roman"/>
          <w:sz w:val="24"/>
          <w:szCs w:val="24"/>
        </w:rPr>
        <w:t>Юмгюсюн</w:t>
      </w:r>
      <w:proofErr w:type="spellEnd"/>
      <w:r w:rsidRPr="00C012E7">
        <w:rPr>
          <w:rFonts w:ascii="Calibri" w:eastAsia="Calibri" w:hAnsi="Calibri" w:cs="Times New Roman"/>
          <w:sz w:val="24"/>
          <w:szCs w:val="24"/>
        </w:rPr>
        <w:t xml:space="preserve"> Мустафова Мусова - член</w:t>
      </w:r>
    </w:p>
    <w:p w:rsid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C012E7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О Т Ч Е Т </w:t>
      </w:r>
    </w:p>
    <w:p w:rsidR="00C012E7" w:rsidRPr="00C012E7" w:rsidRDefault="00C012E7" w:rsidP="00C012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</w:pPr>
      <w:r w:rsidRPr="00C012E7"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  <w:t>НА НЧ «</w:t>
      </w:r>
      <w:r w:rsidRPr="00C012E7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ЗОРА - </w:t>
      </w:r>
      <w:proofErr w:type="gramStart"/>
      <w:r w:rsidRPr="00C012E7">
        <w:rPr>
          <w:rFonts w:ascii="Calibri" w:eastAsia="Times New Roman" w:hAnsi="Calibri" w:cs="Times New Roman"/>
          <w:b/>
          <w:sz w:val="24"/>
          <w:szCs w:val="24"/>
          <w:lang w:eastAsia="bg-BG"/>
        </w:rPr>
        <w:t>1930</w:t>
      </w:r>
      <w:r w:rsidRPr="00C012E7"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  <w:t xml:space="preserve"> »</w:t>
      </w:r>
      <w:proofErr w:type="gramEnd"/>
      <w:r w:rsidRPr="00C012E7"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  <w:t xml:space="preserve"> ЗА 2019 г.</w:t>
      </w:r>
    </w:p>
    <w:p w:rsidR="00C012E7" w:rsidRPr="00C012E7" w:rsidRDefault="00C012E7" w:rsidP="00C012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012E7" w:rsidRPr="00C012E7" w:rsidTr="00CA1D59">
        <w:tc>
          <w:tcPr>
            <w:tcW w:w="10206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ОБЩА ИНФОРМАЦИЯ</w:t>
            </w:r>
          </w:p>
        </w:tc>
      </w:tr>
      <w:tr w:rsidR="00C012E7" w:rsidRPr="00C012E7" w:rsidTr="00CA1D59">
        <w:trPr>
          <w:trHeight w:val="274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smartTag w:uri="urn:schemas-microsoft-com:office:smarttags" w:element="place">
              <w:r w:rsidRPr="00C012E7">
                <w:rPr>
                  <w:rFonts w:ascii="Calibri" w:eastAsia="Times New Roman" w:hAnsi="Calibri" w:cs="Times New Roman"/>
                  <w:b/>
                  <w:sz w:val="24"/>
                  <w:szCs w:val="24"/>
                  <w:lang w:val="en-US" w:eastAsia="bg-BG"/>
                </w:rPr>
                <w:t>I</w:t>
              </w:r>
              <w:r w:rsidRPr="00C012E7">
                <w:rPr>
                  <w:rFonts w:ascii="Calibri" w:eastAsia="Times New Roman" w:hAnsi="Calibri" w:cs="Times New Roman"/>
                  <w:b/>
                  <w:sz w:val="24"/>
                  <w:szCs w:val="24"/>
                  <w:lang w:val="ru-RU" w:eastAsia="bg-BG"/>
                </w:rPr>
                <w:t>.</w:t>
              </w:r>
            </w:smartTag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C012E7" w:rsidRPr="00C012E7" w:rsidTr="00CA1D59">
        <w:trPr>
          <w:trHeight w:val="33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ru-RU" w:eastAsia="bg-BG"/>
              </w:rPr>
              <w:t>1.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Наименование на </w:t>
            </w:r>
            <w:proofErr w:type="gram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читалището: 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gramEnd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Народно 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читалище„ЗОРА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- 1930”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>2.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Населено място: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с. ПОМЕН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Брой регистрирани читалищни членове: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______ действителни ;  50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______спомагателни –    0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______ общо.....              50</w:t>
            </w:r>
          </w:p>
        </w:tc>
      </w:tr>
      <w:tr w:rsidR="00C012E7" w:rsidRPr="00C012E7" w:rsidTr="00CA1D59">
        <w:trPr>
          <w:trHeight w:val="36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Брой посетители на предоставяни от читалището услуги: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 848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броя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Извършена пререгистрация на читалището в определения от ЗНЧ срок: :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/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пише се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датата на последната/. Подадени документи за пререгистрация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 Проведени събрания – общи и на настоятелството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    5    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общо 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    5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   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на настоятелството</w:t>
            </w:r>
          </w:p>
        </w:tc>
      </w:tr>
      <w:tr w:rsidR="00C012E7" w:rsidRPr="00C012E7" w:rsidTr="00CA1D59">
        <w:trPr>
          <w:trHeight w:val="16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lightGray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II. Административен капацитет</w:t>
            </w:r>
          </w:p>
        </w:tc>
      </w:tr>
      <w:tr w:rsidR="00C012E7" w:rsidRPr="00C012E7" w:rsidTr="00CA1D59">
        <w:trPr>
          <w:trHeight w:val="156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Субсидирана численост на персонала през 2019.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брой субсидирана численост   -  1 бр.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 xml:space="preserve">брой трудови договори  -  1 бр.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>брой граждански договори – 0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  ..................................................................... – секретар; образование 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          1 бр. ФАТМЕ ЗЕКЕРИЕВА ЗЮРАБОВА – библиотекар; образование   средно-специално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3.  .................................................... - ...............................– образование 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4. ...................................................... - .............................; образование 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5. ..................................................... - ..............................; образование .................................................</w:t>
            </w:r>
          </w:p>
        </w:tc>
      </w:tr>
      <w:tr w:rsidR="00C012E7" w:rsidRPr="00C012E7" w:rsidTr="00CA1D59">
        <w:trPr>
          <w:trHeight w:val="52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C012E7" w:rsidRPr="00C012E7" w:rsidRDefault="00C012E7" w:rsidP="00C012E7">
            <w:pPr>
              <w:spacing w:after="0" w:line="276" w:lineRule="auto"/>
              <w:ind w:left="360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>І.   Библиотекари:</w:t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 xml:space="preserve">1.   Обучения в Регионална библиотека „Любен Каравелов“ </w:t>
            </w:r>
            <w:proofErr w:type="spellStart"/>
            <w:r w:rsidRPr="00C012E7">
              <w:rPr>
                <w:rFonts w:ascii="Calibri" w:eastAsia="Calibri" w:hAnsi="Calibri" w:cs="Calibri"/>
                <w:sz w:val="24"/>
                <w:szCs w:val="24"/>
              </w:rPr>
              <w:t>гр.Русе</w:t>
            </w:r>
            <w:proofErr w:type="spellEnd"/>
            <w:r w:rsidRPr="00C012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 xml:space="preserve">2.   Семинари </w:t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>3. ...............................................................................................................................................................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>ІІ</w:t>
            </w:r>
            <w:r w:rsidRPr="00C012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 w:rsidRPr="00C012E7">
              <w:rPr>
                <w:rFonts w:ascii="Calibri" w:eastAsia="Calibri" w:hAnsi="Calibri" w:cs="Calibri"/>
                <w:sz w:val="24"/>
                <w:szCs w:val="24"/>
              </w:rPr>
              <w:t>Председател, секретар, счетоводител:</w:t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12E7">
              <w:rPr>
                <w:rFonts w:ascii="Calibri" w:eastAsia="Calibri" w:hAnsi="Calibri" w:cs="Calibri"/>
                <w:sz w:val="24"/>
                <w:szCs w:val="24"/>
              </w:rPr>
              <w:t>1................................................................................................................................................................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3.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26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Наложени санкции на читалището по чл. 31, 32 и 33 от Закона за народните читалища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</w:t>
            </w:r>
          </w:p>
          <w:p w:rsidR="00C012E7" w:rsidRPr="00C012E7" w:rsidRDefault="00C012E7" w:rsidP="00C012E7">
            <w:pPr>
              <w:tabs>
                <w:tab w:val="left" w:pos="258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>НЯМА НАЛОЖЕНИ САНКЦИИ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22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III.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C012E7" w:rsidRPr="00C012E7" w:rsidTr="00CA1D59">
        <w:trPr>
          <w:trHeight w:val="862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Сграден фонд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 читалището е  предоставена за безвъзмездно ползване: Вписано в Регистъра за юридическите лица с нестопанска цел под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номер  251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..........................................  с обща площ  .......... м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bg-BG"/>
              </w:rPr>
              <w:t xml:space="preserve"> 2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, ул. ...................................................  с Решение №  1658, прието с протокол №........ от 25.06.1997г. на Общински съвет – Две могили.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Помещения: читалищен салон, </w:t>
            </w:r>
            <w:proofErr w:type="spell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фоайе,библиотека</w:t>
            </w:r>
            <w:proofErr w:type="spellEnd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, кметството също се помещава в сградата на читалището.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Сградата се отоплява – читалищния салон се отоплява с климатици , а сградата с </w:t>
            </w:r>
            <w:proofErr w:type="spell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пелети</w:t>
            </w:r>
            <w:proofErr w:type="spellEnd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012E7" w:rsidRPr="00C012E7" w:rsidTr="00CA1D59">
        <w:trPr>
          <w:trHeight w:val="51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2. Наличие на сграден фонд и/или помещения за читалищна дейност с осигурен достъп за хора с увреждания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Фоайе на читалището, читалищен салон; кметството също се помещава в сградата на </w:t>
            </w:r>
            <w:proofErr w:type="spell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читалището;има</w:t>
            </w:r>
            <w:proofErr w:type="spellEnd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 достъп за хора с увреждания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РЕАЛИЗИРАНИ ДЕЙНОСТИ ПО ПРОГРАМАТА ЗА 20...</w:t>
            </w:r>
          </w:p>
        </w:tc>
      </w:tr>
      <w:tr w:rsidR="00C012E7" w:rsidRPr="00C012E7" w:rsidTr="00CA1D59">
        <w:trPr>
          <w:trHeight w:val="19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</w:tc>
      </w:tr>
      <w:tr w:rsidR="00C012E7" w:rsidRPr="00C012E7" w:rsidTr="00CA1D59">
        <w:trPr>
          <w:trHeight w:val="25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Брой на библиотечните единици в библиотечен фонд:     7326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броя</w:t>
            </w:r>
          </w:p>
        </w:tc>
      </w:tr>
      <w:tr w:rsidR="00C012E7" w:rsidRPr="00C012E7" w:rsidTr="00CA1D59">
        <w:trPr>
          <w:trHeight w:val="33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Брой на </w:t>
            </w:r>
            <w:proofErr w:type="spell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новозакупените</w:t>
            </w:r>
            <w:proofErr w:type="spellEnd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книги през 2019 г.:  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0 броя</w:t>
            </w:r>
          </w:p>
        </w:tc>
      </w:tr>
      <w:tr w:rsidR="00C012E7" w:rsidRPr="00C012E7" w:rsidTr="00CA1D59">
        <w:trPr>
          <w:trHeight w:val="16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Брой дарени книги през 2019 г.: 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93 броя</w:t>
            </w:r>
          </w:p>
        </w:tc>
      </w:tr>
      <w:tr w:rsidR="00C012E7" w:rsidRPr="00C012E7" w:rsidTr="00CA1D59">
        <w:trPr>
          <w:trHeight w:val="24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Брой на абонираните за 2020 г. периодични издания:  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2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броя</w:t>
            </w:r>
          </w:p>
        </w:tc>
      </w:tr>
      <w:tr w:rsidR="00C012E7" w:rsidRPr="00C012E7" w:rsidTr="00CA1D59">
        <w:trPr>
          <w:trHeight w:val="31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Брой творчески срещи в библиотеката през 2019 г.:   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творчески срещи: </w:t>
            </w:r>
          </w:p>
          <w:p w:rsidR="00C012E7" w:rsidRPr="00C012E7" w:rsidRDefault="00C012E7" w:rsidP="00C012E7">
            <w:pPr>
              <w:tabs>
                <w:tab w:val="left" w:pos="243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ab/>
              <w:t>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Тематични:  Първа пролет – конкурс за детска рисунка; Ден на славянската писменост – 24 май и Ден на детето - 1-ви юни – изложба на детски книжки и рисунки; Моята лятна ваканция – изложба на детски рисунки и предмети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витрини в библиотеката по случай: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 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Денят на Христо Ботев; рождението на Васил Левски; Националния празник на България- 3-ти март; Витрини по случай рождението на известни български писатели.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Брой читателски посещения през 2019 г. общо в читалня и в заемна за дома - 1130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Брой заета литература през 2019 г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.:  545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Автоматизация на библиотечно-информационното обслужване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- Брой компютри и периферни устройства (принтер, скенер) и други съвременни информационни устройства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1 брой компютър </w:t>
            </w:r>
            <w:proofErr w:type="spellStart"/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компютър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 брой /</w:t>
            </w:r>
            <w:proofErr w:type="spellStart"/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принтер,скенер</w:t>
            </w:r>
            <w:proofErr w:type="spellEnd"/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/ 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Закупена нова техника през 2019.. г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</w:t>
            </w:r>
          </w:p>
          <w:p w:rsidR="00C012E7" w:rsidRPr="00C012E7" w:rsidRDefault="00C012E7" w:rsidP="00C012E7">
            <w:pPr>
              <w:tabs>
                <w:tab w:val="left" w:pos="222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>Нямаме закупена нова техника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Arial" w:eastAsia="Times New Roman" w:hAnsi="Arial" w:cs="Arial"/>
                <w:caps/>
                <w:color w:val="3A3A3A"/>
                <w:sz w:val="18"/>
                <w:szCs w:val="18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lang w:eastAsia="bg-BG"/>
              </w:rPr>
              <w:t xml:space="preserve">   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Осигурен достъп до интернет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  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/начин на достъп/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Наличие и употреба на специализиран софтуерен продукт за библиотечно обслужване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012E7" w:rsidRPr="00C012E7" w:rsidRDefault="00C012E7" w:rsidP="00C012E7">
            <w:pPr>
              <w:widowControl w:val="0"/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Няма</w:t>
            </w:r>
            <w:proofErr w:type="spellEnd"/>
          </w:p>
          <w:p w:rsidR="00C012E7" w:rsidRPr="00C012E7" w:rsidRDefault="00C012E7" w:rsidP="00C01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lastRenderedPageBreak/>
              <w:t>- Наличие на услуга за онлайн обслужване на потребители и брой обслужени потребители онлайн през 2019..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г.:  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- </w:t>
            </w: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Дигитализация на фондове - брой дигитализирани фондови единици през 2019г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</w:t>
            </w:r>
          </w:p>
          <w:p w:rsidR="00C012E7" w:rsidRPr="00C012E7" w:rsidRDefault="00C012E7" w:rsidP="00C012E7">
            <w:pPr>
              <w:tabs>
                <w:tab w:val="left" w:pos="373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>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C012E7" w:rsidRPr="00C012E7" w:rsidTr="00CA1D59">
        <w:trPr>
          <w:trHeight w:val="3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- Използване на уебсайт, </w:t>
            </w:r>
            <w:proofErr w:type="spellStart"/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фейсбук</w:t>
            </w:r>
            <w:proofErr w:type="spellEnd"/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bg-BG"/>
              </w:rPr>
            </w:pPr>
            <w:r w:rsidRPr="00C012E7">
              <w:rPr>
                <w:rFonts w:ascii="Calibri" w:eastAsia="Times New Roman" w:hAnsi="Calibri" w:cs="Calibri"/>
                <w:sz w:val="24"/>
                <w:szCs w:val="24"/>
                <w:lang w:val="en-US" w:eastAsia="bg-BG"/>
              </w:rPr>
              <w:t xml:space="preserve">             </w:t>
            </w:r>
            <w:r w:rsidRPr="00C012E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Читалището  има ел. поща и </w:t>
            </w:r>
            <w:r w:rsidRPr="00C012E7">
              <w:rPr>
                <w:rFonts w:ascii="Calibri" w:eastAsia="Times New Roman" w:hAnsi="Calibri" w:cs="Calibri"/>
                <w:sz w:val="24"/>
                <w:szCs w:val="24"/>
                <w:lang w:val="en-US" w:eastAsia="bg-BG"/>
              </w:rPr>
              <w:t xml:space="preserve">Skype </w:t>
            </w:r>
          </w:p>
        </w:tc>
      </w:tr>
      <w:tr w:rsidR="00C012E7" w:rsidRPr="00C012E7" w:rsidTr="00CA1D59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Художествени състави за любителско творчество, функционирали през 2019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група “ТЕМЕНУГА” с ръководител Назифе Бекирова    -  13 участника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група “........................” с ръководител ..................................    -  ..... участника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група “........................” с ръководител ..................................    -  ..... участника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група „........................” с  ръководител  ..................................  -   ..... участника</w:t>
            </w:r>
          </w:p>
        </w:tc>
      </w:tr>
      <w:tr w:rsidR="00C012E7" w:rsidRPr="00C012E7" w:rsidTr="00CA1D59">
        <w:trPr>
          <w:trHeight w:val="139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– клубове, школи, курсове, кръжоци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ru-RU" w:eastAsia="bg-BG"/>
              </w:rPr>
              <w:t xml:space="preserve">,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/</w:t>
            </w:r>
            <w:r w:rsidRPr="00C012E7"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  <w:t xml:space="preserve">Моля, посочете </w:t>
            </w:r>
            <w:r w:rsidRPr="00C012E7">
              <w:rPr>
                <w:rFonts w:ascii="Calibri" w:eastAsia="Times New Roman" w:hAnsi="Calibri" w:cs="Times New Roman"/>
                <w:b/>
                <w:i/>
                <w:szCs w:val="24"/>
                <w:lang w:eastAsia="bg-BG"/>
              </w:rPr>
              <w:t>броя и опишете подробно и отчетливо всички образователни форми</w:t>
            </w:r>
            <w:r w:rsidRPr="00C012E7"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  <w:t xml:space="preserve">, които читалището е реализирало за отчетния период. Опишете също и </w:t>
            </w:r>
            <w:r w:rsidRPr="00C012E7">
              <w:rPr>
                <w:rFonts w:ascii="Calibri" w:eastAsia="Times New Roman" w:hAnsi="Calibri" w:cs="Times New Roman"/>
                <w:b/>
                <w:i/>
                <w:szCs w:val="24"/>
                <w:lang w:eastAsia="bg-BG"/>
              </w:rPr>
              <w:t>броя на привлечените участници</w:t>
            </w:r>
            <w:r w:rsidRPr="00C012E7"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  <w:t>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  <w:t xml:space="preserve">                                                                      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79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Социална политика </w:t>
            </w:r>
          </w:p>
          <w:p w:rsidR="00C012E7" w:rsidRPr="00C012E7" w:rsidRDefault="00C012E7" w:rsidP="00C012E7">
            <w:pPr>
              <w:tabs>
                <w:tab w:val="left" w:pos="97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ab/>
              <w:t>Читалището е в добри отношения с всички институции в село Помен.</w:t>
            </w:r>
          </w:p>
        </w:tc>
      </w:tr>
      <w:tr w:rsidR="00C012E7" w:rsidRPr="00C012E7" w:rsidTr="00CA1D59">
        <w:trPr>
          <w:trHeight w:val="45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6. Музейна или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>e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тнографска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сбирка: обновяване на музейни или етнографски колекции, създаване на нови.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Cs w:val="24"/>
                <w:lang w:val="ru-RU" w:eastAsia="bg-BG"/>
              </w:rPr>
              <w:t xml:space="preserve">                   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Няма музейна сбирка, но имаме етнографски </w:t>
            </w:r>
            <w:proofErr w:type="spellStart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кът,който</w:t>
            </w:r>
            <w:proofErr w:type="spellEnd"/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се помещава в една от стаите в училището.</w:t>
            </w:r>
          </w:p>
        </w:tc>
      </w:tr>
      <w:tr w:rsidR="00C012E7" w:rsidRPr="00C012E7" w:rsidTr="00CA1D59"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ru-RU"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Брой публични прояви и събития, организирани от читалището в населеното място/район, които читалището обслужва.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     Изложби и витрини във фоайето на 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читалището,свързани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с рождението на знаменити български писатели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     Национален празник на България – 3-ти март; Ден на жената – 8-ми март; Великден; Ден на самодееца и възрастните хора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3.      Празниците Курбан байрам и Рамазан байрам; Откриване на жътвата – богата празнична програма;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     Събор на селото – ден на местния бит и култура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73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Участия на ваши художествени състави в общински и регионални, национални и международни форуми, събори, конкурси.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</w:t>
            </w: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1.  Регионални:</w:t>
            </w:r>
          </w:p>
          <w:p w:rsidR="00C012E7" w:rsidRPr="00C012E7" w:rsidRDefault="00C012E7" w:rsidP="00C012E7">
            <w:pPr>
              <w:tabs>
                <w:tab w:val="left" w:pos="945"/>
              </w:tabs>
              <w:spacing w:after="0" w:line="360" w:lineRule="auto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C012E7">
              <w:rPr>
                <w:rFonts w:ascii="Calibri" w:eastAsia="Calibri" w:hAnsi="Calibri" w:cs="Times New Roman"/>
                <w:lang w:val="ru-RU"/>
              </w:rPr>
              <w:lastRenderedPageBreak/>
              <w:t xml:space="preserve"> -</w:t>
            </w:r>
            <w:r w:rsidRPr="00C012E7">
              <w:rPr>
                <w:rFonts w:ascii="Calibri" w:eastAsia="Calibri" w:hAnsi="Calibri" w:cs="Times New Roman"/>
                <w:lang w:val="ru-RU"/>
              </w:rPr>
              <w:tab/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Фолклорен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фестивал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«ЖИВА ВОДА»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с.Каран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proofErr w:type="gramStart"/>
            <w:r w:rsidRPr="00C012E7">
              <w:rPr>
                <w:rFonts w:ascii="Calibri" w:eastAsia="Calibri" w:hAnsi="Calibri" w:cs="Times New Roman"/>
                <w:lang w:val="ru-RU"/>
              </w:rPr>
              <w:t>Върбовка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обл.Русе</w:t>
            </w:r>
            <w:proofErr w:type="spellEnd"/>
            <w:proofErr w:type="gramEnd"/>
          </w:p>
          <w:p w:rsidR="00C012E7" w:rsidRPr="00C012E7" w:rsidRDefault="00C012E7" w:rsidP="00C012E7">
            <w:pPr>
              <w:tabs>
                <w:tab w:val="left" w:pos="945"/>
              </w:tabs>
              <w:spacing w:after="0" w:line="360" w:lineRule="auto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C012E7">
              <w:rPr>
                <w:rFonts w:ascii="Calibri" w:eastAsia="Calibri" w:hAnsi="Calibri" w:cs="Times New Roman"/>
                <w:lang w:val="ru-RU"/>
              </w:rPr>
              <w:t>-</w:t>
            </w:r>
            <w:r w:rsidRPr="00C012E7">
              <w:rPr>
                <w:rFonts w:ascii="Calibri" w:eastAsia="Calibri" w:hAnsi="Calibri" w:cs="Times New Roman"/>
                <w:lang w:val="ru-RU"/>
              </w:rPr>
              <w:tab/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Събор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на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хърцоите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  </w:t>
            </w:r>
            <w:proofErr w:type="spellStart"/>
            <w:proofErr w:type="gramStart"/>
            <w:r w:rsidRPr="00C012E7">
              <w:rPr>
                <w:rFonts w:ascii="Calibri" w:eastAsia="Calibri" w:hAnsi="Calibri" w:cs="Times New Roman"/>
                <w:lang w:val="ru-RU"/>
              </w:rPr>
              <w:t>с.Кацелово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 обл.</w:t>
            </w:r>
            <w:proofErr w:type="gram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Русе</w:t>
            </w:r>
            <w:proofErr w:type="spellEnd"/>
          </w:p>
          <w:p w:rsidR="00C012E7" w:rsidRPr="00C012E7" w:rsidRDefault="00C012E7" w:rsidP="00C012E7">
            <w:pPr>
              <w:tabs>
                <w:tab w:val="left" w:pos="945"/>
              </w:tabs>
              <w:spacing w:after="0" w:line="360" w:lineRule="auto"/>
              <w:contextualSpacing/>
              <w:rPr>
                <w:rFonts w:ascii="Calibri" w:eastAsia="Calibri" w:hAnsi="Calibri" w:cs="Times New Roman"/>
              </w:rPr>
            </w:pPr>
            <w:r w:rsidRPr="00C012E7">
              <w:rPr>
                <w:rFonts w:ascii="Calibri" w:eastAsia="Calibri" w:hAnsi="Calibri" w:cs="Times New Roman"/>
                <w:lang w:val="ru-RU"/>
              </w:rPr>
              <w:t>-</w:t>
            </w:r>
            <w:r w:rsidRPr="00C012E7">
              <w:rPr>
                <w:rFonts w:ascii="Calibri" w:eastAsia="Calibri" w:hAnsi="Calibri" w:cs="Times New Roman"/>
                <w:lang w:val="ru-RU"/>
              </w:rPr>
              <w:tab/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Фолклорен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фестивал</w:t>
            </w:r>
            <w:proofErr w:type="spell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«ОТ ДУНАВ ДО </w:t>
            </w:r>
            <w:proofErr w:type="gramStart"/>
            <w:r w:rsidRPr="00C012E7">
              <w:rPr>
                <w:rFonts w:ascii="Calibri" w:eastAsia="Calibri" w:hAnsi="Calibri" w:cs="Times New Roman"/>
                <w:lang w:val="ru-RU"/>
              </w:rPr>
              <w:t>БАЛКАНА»  гр.</w:t>
            </w:r>
            <w:proofErr w:type="gramEnd"/>
            <w:r w:rsidRPr="00C012E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C012E7">
              <w:rPr>
                <w:rFonts w:ascii="Calibri" w:eastAsia="Calibri" w:hAnsi="Calibri" w:cs="Times New Roman"/>
                <w:lang w:val="ru-RU"/>
              </w:rPr>
              <w:t>Борово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</w:t>
            </w: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2.  Н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ru-RU" w:eastAsia="bg-BG"/>
              </w:rPr>
              <w:t>ационални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ru-RU" w:eastAsia="bg-BG"/>
              </w:rPr>
              <w:t xml:space="preserve">: </w:t>
            </w:r>
          </w:p>
          <w:p w:rsidR="00C012E7" w:rsidRPr="00C012E7" w:rsidRDefault="00C012E7" w:rsidP="00C012E7">
            <w:pPr>
              <w:tabs>
                <w:tab w:val="left" w:pos="7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-</w:t>
            </w: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ab/>
              <w:t xml:space="preserve">Национален фестивал на етносите „НА ЕДНА ЗЕМЯ,ПОД ЕДНО НЕБЕ – ЗАЕДНО“ 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с.Батишница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обл.Русе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ru-RU"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    3. М</w:t>
            </w:r>
            <w:proofErr w:type="spellStart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ru-RU" w:eastAsia="bg-BG"/>
              </w:rPr>
              <w:t>еждународни</w:t>
            </w:r>
            <w:proofErr w:type="spellEnd"/>
            <w:r w:rsidRPr="00C012E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ru-RU" w:eastAsia="bg-BG"/>
              </w:rPr>
              <w:t>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>-</w:t>
            </w:r>
          </w:p>
          <w:p w:rsidR="00C012E7" w:rsidRPr="00C012E7" w:rsidRDefault="00C012E7" w:rsidP="00C012E7">
            <w:pPr>
              <w:tabs>
                <w:tab w:val="left" w:pos="301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>--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ab/>
              <w:t>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  <w:t>-</w:t>
            </w:r>
          </w:p>
        </w:tc>
      </w:tr>
      <w:tr w:rsidR="00C012E7" w:rsidRPr="00C012E7" w:rsidTr="00CA1D59">
        <w:trPr>
          <w:trHeight w:val="64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Получени отличия и награди от участия </w:t>
            </w:r>
            <w:r w:rsidRPr="00C012E7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Cs w:val="24"/>
                <w:lang w:eastAsia="bg-BG"/>
              </w:rPr>
              <w:t>1</w:t>
            </w:r>
          </w:p>
          <w:p w:rsidR="00C012E7" w:rsidRPr="00C012E7" w:rsidRDefault="00C012E7" w:rsidP="00C012E7">
            <w:pPr>
              <w:tabs>
                <w:tab w:val="left" w:pos="705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2E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C012E7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    Грамоти и сувенири.</w:t>
            </w:r>
          </w:p>
          <w:p w:rsidR="00C012E7" w:rsidRPr="00C012E7" w:rsidRDefault="00C012E7" w:rsidP="00C012E7">
            <w:pPr>
              <w:tabs>
                <w:tab w:val="left" w:pos="1260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2E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C012E7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C012E7" w:rsidRPr="00C012E7" w:rsidRDefault="00C012E7" w:rsidP="00C012E7">
            <w:p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2E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C012E7" w:rsidRPr="00C012E7" w:rsidTr="00CA1D59">
        <w:trPr>
          <w:trHeight w:val="225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130. Проекти, реализирани през 2019 г.          Един реализиран проект – цялостен ремонт на сградата на читалището.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Като основен бенефициент:    Проект „Бедствия и аварии“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330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11. Проекти, чиято реализация продължава през 2020 г.</w:t>
            </w:r>
          </w:p>
          <w:p w:rsidR="00C012E7" w:rsidRPr="00C012E7" w:rsidRDefault="00C012E7" w:rsidP="00C012E7">
            <w:pPr>
              <w:tabs>
                <w:tab w:val="left" w:pos="32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ab/>
              <w:t>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rPr>
          <w:trHeight w:val="981"/>
        </w:trPr>
        <w:tc>
          <w:tcPr>
            <w:tcW w:w="10206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 Въведени нови художествени и/или образователни форми  през 2019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tabs>
                <w:tab w:val="left" w:pos="2295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ab/>
              <w:t>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2E7" w:rsidRPr="00C012E7" w:rsidRDefault="00C012E7" w:rsidP="00C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ПРОГРАМА ЗА РАЗВИТИЕ НА ЧИТАЛИЩНАТА ДЕЙНОСТ НА </w:t>
      </w:r>
    </w:p>
    <w:p w:rsidR="00C012E7" w:rsidRPr="00C012E7" w:rsidRDefault="00C012E7" w:rsidP="00C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НЧ „ЗОРА-1930” с. Помен ПРЕЗ 2020 г. </w:t>
      </w:r>
    </w:p>
    <w:p w:rsidR="00C012E7" w:rsidRPr="00C012E7" w:rsidRDefault="00C012E7" w:rsidP="00C01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012E7" w:rsidRPr="00C012E7" w:rsidRDefault="00C012E7" w:rsidP="00C0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2E7" w:rsidRPr="00C012E7" w:rsidTr="00CA1D59">
        <w:tc>
          <w:tcPr>
            <w:tcW w:w="9212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Читалище: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Народно  читалище „ЗОРА-1930”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/с. ПОМЕН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жители на населеното място: 333 души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читалищни членове: 50 души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 -   7326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2020 г.    –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20-30  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1.3. Брой на абонираните за 2020 г. издания -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2 бр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/вестници и списания/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1.4. Брой планирани инициативи в библиотеката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-30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/витрини,  литературни утра,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уроци по библиотечно - библиографски знания за ученици, литературни четения/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2020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и конкретни мерки за разширяване броя на читателските посещения: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 Закупуване на нови книги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 Закупуване на  1 бр. компютър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други съвременни информационни устройства 1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бр.компютър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1 бр.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принтер,скенер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 Осигурен достъп до интернет -  ДА /как/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</w:p>
          <w:p w:rsidR="00C012E7" w:rsidRPr="00C012E7" w:rsidRDefault="00C012E7" w:rsidP="00C01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 Наличие и употреба на специализиран софтуерен продукт за библиотечно обслужване  - НЯМА</w:t>
            </w:r>
          </w:p>
          <w:p w:rsidR="00C012E7" w:rsidRPr="00C012E7" w:rsidRDefault="00C012E7" w:rsidP="00C01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2.4. Наличие на електронен каталог и възможност за автоматизирано търсене на информация по зададени от потребителя параметри -    </w:t>
            </w:r>
          </w:p>
          <w:p w:rsidR="00C012E7" w:rsidRPr="00C012E7" w:rsidRDefault="00C012E7" w:rsidP="00C012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2.5. Онлайн обслужване на потребители (брой) -   ДА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2.6. Дигитализация на фондове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дигитализирани фондови единици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2.7. Използване на уебсайт,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фейсбук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други електронни комуникационни канали за популяризиране на библиотечните услуги –  /описание/-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ел.поща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фейсбук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страница на читалището и на селото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 -  /НЕ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2020 г. -  ..................................................................................................................................................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3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Художествени състави и други форми на любителско творчество, които читалището ще поддържа през 2020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Певческа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група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«</w:t>
            </w:r>
            <w:proofErr w:type="gram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ТЕМЕНУГА»  и</w:t>
            </w:r>
            <w:proofErr w:type="gram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децата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през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лятната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ваканция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 за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различни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занимания/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конкурси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детска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рисунка на различна тематика,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заедно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това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изложби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във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фоайето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читалището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; 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лятна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читалня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–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четене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детски книжки;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различни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видове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спорт,като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волейбол,тенис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маса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др.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4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bg-BG"/>
              </w:rPr>
              <w:t>. Колективни и индивидуални форми на обучение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Обучения в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Регионална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библиотека «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Любен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Каравелов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» гр.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Русе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Семинари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XXXV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Конгрес на Съюза на Народните читалища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в гр. София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през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месец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май 2020 година.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5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Планирани нови образователни форми през 2020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Образователни форми са планирани с децата през лятната ваканция.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6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Планирани нови форми на любителското творчество през 2020 г.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Отново с децата през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ваканциите,с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техни любими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занимания,като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рисуване и спорт.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7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Музейни колекции (съществуващи и/или в проект за 2020 г.)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8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Публични инициативи, организирани от читалището за местната общност в седалището му: /кратко описание на мероприятията през 2020г. – само в населеното място/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Изложба във фоайето ‚делото на Христо Ботев“;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Бабинден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Ден на родилната помощ; Трифон Зарезан и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Св.Валентин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; Изложба във фоайето-Денят на Васил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Левски;Първомартенска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седянка-посрещане на Баба Марта и  Ден 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самодееца;Национален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празник на България-поднасяне на венци пред паметника на руско-турските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войни;Тържество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 случай 8-ми март празник 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жената;Първа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пролет-конкурс на детска рисунка; Великден-боядисване на яйца с децата от селото и децата от ДГ „1-ви юни“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с.Баниска;Герговден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Хъдрелез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-общоселски празник на християни и мюсюлмани; Ден на славянската писменост и култура-изложба на детски книжки и рисунки във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фоайето;Празниците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Рамазан и Курбан байрам – децата събират бонбони и се целува ръка за прошка на по-възрастните; Откриване на жътвата- музикална и литературна програма с децата от селото и певческата група; Участие в инициативата „Да изчистим България за един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ден“;Празник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 случай „Деня на възрастните хора“; Вечер на приятелството-с участие на самодейни колективи от общината; Ден на местния бит и култура – събор на селото; 90-ГОДИШЕН ЮБИЛЕЙ НА ЧИТАЛИЩЕТО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9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Участия в общински и регионални фестивали, прегледи, събори, конкурси и др.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фестивали: Събора „Жива вода“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с.Каран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Върбовка;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Хърцойския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събор в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с.Кацелово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Участие в „Празник на плодородието“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с.Чилнов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Участие във фестивал 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етносите“На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една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земя,под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 небе – заедно“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с.Батишница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Регионални фестивали: Участие във фолклорен фестивал „От Дунав до Балкана“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гр.Борово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Участие във фолклорно надпяване НФС „Автентичност и съвремие“ гр. Попово; Участие във фестивала в Ценово „Ценово пее и танцува“; Участие във фолклорно надпяване „Златната гъдулка“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гр.Русе</w:t>
            </w:r>
            <w:proofErr w:type="spellEnd"/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10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Участия в национални и международни фестивали, прегледи, събори, конкурси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Нямаме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proofErr w:type="gram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планирани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 участия</w:t>
            </w:r>
            <w:proofErr w:type="gram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международни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фестивали.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1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Проекти, чиято реализация продължава и през 2020 г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Планирани за разработване през 2020 г. нови проекти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                              Няма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12E7" w:rsidRPr="00C012E7" w:rsidTr="00CA1D59">
        <w:tc>
          <w:tcPr>
            <w:tcW w:w="9212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Субсидирана численост на персонала   - 1  щатни бройки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..................................................... -  секретар  -  образование висше/бакалавър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1 бр. - библиотекар - образование висше/бакалавър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4. ........................................................................................................................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5. .........................................................................................................................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2. Планирате ли повишаване на квалификацията на работещите в читалището? 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                               НЕ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12E7" w:rsidRPr="00C012E7" w:rsidRDefault="00C012E7" w:rsidP="00C01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2E7" w:rsidRPr="00C012E7" w:rsidTr="00CA1D59">
        <w:tc>
          <w:tcPr>
            <w:tcW w:w="9212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Сградата има ли застраховка  - ДА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Състояние на сградния фон</w:t>
            </w: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много добро състояние, след основен ремонт през 2019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година,след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спечелен проект по „Бедствия и аварии“.</w:t>
            </w: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</w:p>
        </w:tc>
      </w:tr>
    </w:tbl>
    <w:p w:rsidR="00C012E7" w:rsidRPr="00C012E7" w:rsidRDefault="00C012E7" w:rsidP="00C01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2E7" w:rsidRPr="00C012E7" w:rsidTr="00CA1D59">
        <w:tc>
          <w:tcPr>
            <w:tcW w:w="9212" w:type="dxa"/>
            <w:shd w:val="clear" w:color="auto" w:fill="C0C0C0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ПРОГНОЗНИ ДАННИ ЗА СОБСТВЕНИТЕ ПРИХОДИ В БЮДЖЕТ 2020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Очаквани приходи от проектно финансиране:                    0  лв.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Очаквани приходи от управление на читалищната собственост (сгради, помещения, земя и др.) и/или друга допълнителна стопанска дейност:   1500 лв.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спонсорство:   0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 Планирани приходи от членски внос:                              50 - 100 лв.</w:t>
            </w:r>
          </w:p>
        </w:tc>
      </w:tr>
      <w:tr w:rsidR="00C012E7" w:rsidRPr="00C012E7" w:rsidTr="00CA1D59">
        <w:tc>
          <w:tcPr>
            <w:tcW w:w="9212" w:type="dxa"/>
            <w:shd w:val="clear" w:color="auto" w:fill="auto"/>
          </w:tcPr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Дата:   ---.12.2019 г.                                    Председател на читалището: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</w:t>
            </w:r>
            <w:proofErr w:type="spellStart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Нилгюл</w:t>
            </w:r>
            <w:proofErr w:type="spellEnd"/>
            <w:r w:rsidRPr="00C01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/.............................../</w:t>
            </w: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12E7" w:rsidRPr="00C012E7" w:rsidRDefault="00C012E7" w:rsidP="00C0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12E7" w:rsidRPr="00C012E7" w:rsidRDefault="00C012E7" w:rsidP="00C012E7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2E7" w:rsidRPr="00C012E7" w:rsidRDefault="00C012E7" w:rsidP="00C012E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F5753" w:rsidRDefault="003F5753"/>
    <w:sectPr w:rsidR="003F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78"/>
    <w:rsid w:val="003F5753"/>
    <w:rsid w:val="00C012E7"/>
    <w:rsid w:val="00D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A6E8-26EC-48CA-A4BF-38183DE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5064</Words>
  <Characters>28871</Characters>
  <Application>Microsoft Office Word</Application>
  <DocSecurity>0</DocSecurity>
  <Lines>240</Lines>
  <Paragraphs>67</Paragraphs>
  <ScaleCrop>false</ScaleCrop>
  <Company/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2020-03-17T13:45:00Z</dcterms:created>
  <dcterms:modified xsi:type="dcterms:W3CDTF">2020-03-17T13:48:00Z</dcterms:modified>
</cp:coreProperties>
</file>